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23E90B" w14:textId="77777777" w:rsidR="002D565D" w:rsidRPr="002B0ECC" w:rsidRDefault="002B0ECC">
      <w:pPr>
        <w:rPr>
          <w:b/>
          <w:color w:val="1F497D" w:themeColor="text2"/>
          <w:sz w:val="28"/>
          <w:szCs w:val="28"/>
        </w:rPr>
      </w:pPr>
      <w:bookmarkStart w:id="0" w:name="_GoBack"/>
      <w:bookmarkEnd w:id="0"/>
      <w:r w:rsidRPr="002B0ECC">
        <w:rPr>
          <w:b/>
          <w:color w:val="1F497D" w:themeColor="text2"/>
          <w:sz w:val="28"/>
          <w:szCs w:val="28"/>
        </w:rPr>
        <w:t>NIH Common Data Elements</w:t>
      </w:r>
      <w:r>
        <w:rPr>
          <w:b/>
          <w:color w:val="1F497D" w:themeColor="text2"/>
          <w:sz w:val="28"/>
          <w:szCs w:val="28"/>
        </w:rPr>
        <w:t xml:space="preserve"> (CDE)</w:t>
      </w:r>
      <w:r w:rsidRPr="002B0ECC">
        <w:rPr>
          <w:b/>
          <w:color w:val="1F497D" w:themeColor="text2"/>
          <w:sz w:val="28"/>
          <w:szCs w:val="28"/>
        </w:rPr>
        <w:t xml:space="preserve"> Workshop Executive Summary</w:t>
      </w:r>
    </w:p>
    <w:p w14:paraId="12B016AD" w14:textId="77777777" w:rsidR="002B0ECC" w:rsidRPr="002B0ECC" w:rsidRDefault="002B0ECC">
      <w:pPr>
        <w:rPr>
          <w:rFonts w:asciiTheme="majorHAnsi" w:hAnsiTheme="majorHAnsi"/>
        </w:rPr>
      </w:pPr>
    </w:p>
    <w:p w14:paraId="0862AFDC" w14:textId="77777777" w:rsidR="002B0ECC" w:rsidRPr="002B0ECC" w:rsidRDefault="002B0ECC">
      <w:pPr>
        <w:rPr>
          <w:rFonts w:asciiTheme="majorHAnsi" w:hAnsiTheme="majorHAnsi"/>
        </w:rPr>
      </w:pPr>
      <w:r w:rsidRPr="002B0ECC">
        <w:rPr>
          <w:rFonts w:asciiTheme="majorHAnsi" w:hAnsiTheme="majorHAnsi"/>
        </w:rPr>
        <w:t>September 30, 2015</w:t>
      </w:r>
    </w:p>
    <w:p w14:paraId="4D014990" w14:textId="77777777" w:rsidR="002B0ECC" w:rsidRPr="002B0ECC" w:rsidRDefault="002B0ECC">
      <w:pPr>
        <w:rPr>
          <w:rFonts w:asciiTheme="majorHAnsi" w:hAnsiTheme="majorHAnsi"/>
        </w:rPr>
      </w:pPr>
    </w:p>
    <w:p w14:paraId="456FED75" w14:textId="77777777" w:rsidR="002B0ECC" w:rsidRDefault="002B0ECC" w:rsidP="002B0ECC">
      <w:pPr>
        <w:rPr>
          <w:rFonts w:asciiTheme="majorHAnsi" w:hAnsiTheme="majorHAnsi"/>
        </w:rPr>
      </w:pPr>
      <w:r>
        <w:rPr>
          <w:rFonts w:asciiTheme="majorHAnsi" w:hAnsiTheme="majorHAnsi"/>
        </w:rPr>
        <w:t xml:space="preserve">BD2K, BMIC, NLM, NCI, NCATS, and NIEHS jointly organized a workshop for NIH staff to explore the role of CDEs in NIH Data Sharing. This workshop convened </w:t>
      </w:r>
      <w:r w:rsidR="00205B0E">
        <w:rPr>
          <w:rFonts w:asciiTheme="majorHAnsi" w:hAnsiTheme="majorHAnsi"/>
        </w:rPr>
        <w:t xml:space="preserve">40 </w:t>
      </w:r>
      <w:r>
        <w:rPr>
          <w:rFonts w:asciiTheme="majorHAnsi" w:hAnsiTheme="majorHAnsi"/>
        </w:rPr>
        <w:t>representatives of the NIH community that were</w:t>
      </w:r>
      <w:r w:rsidRPr="002B0ECC">
        <w:rPr>
          <w:rFonts w:asciiTheme="majorHAnsi" w:hAnsiTheme="majorHAnsi"/>
        </w:rPr>
        <w:t xml:space="preserve"> interested in </w:t>
      </w:r>
      <w:r>
        <w:rPr>
          <w:rFonts w:asciiTheme="majorHAnsi" w:hAnsiTheme="majorHAnsi"/>
        </w:rPr>
        <w:t>CDEs with the goals of:</w:t>
      </w:r>
    </w:p>
    <w:p w14:paraId="71F57AAA" w14:textId="77777777" w:rsidR="002B0ECC" w:rsidRPr="002B0ECC" w:rsidRDefault="002B0ECC" w:rsidP="002B0ECC">
      <w:pPr>
        <w:pStyle w:val="ListParagraph"/>
        <w:numPr>
          <w:ilvl w:val="0"/>
          <w:numId w:val="2"/>
        </w:numPr>
        <w:rPr>
          <w:rFonts w:asciiTheme="majorHAnsi" w:hAnsiTheme="majorHAnsi"/>
        </w:rPr>
      </w:pPr>
      <w:r>
        <w:rPr>
          <w:rFonts w:asciiTheme="majorHAnsi" w:hAnsiTheme="majorHAnsi"/>
        </w:rPr>
        <w:t>S</w:t>
      </w:r>
      <w:r w:rsidRPr="002B0ECC">
        <w:rPr>
          <w:rFonts w:asciiTheme="majorHAnsi" w:hAnsiTheme="majorHAnsi"/>
        </w:rPr>
        <w:t>upport</w:t>
      </w:r>
      <w:r>
        <w:rPr>
          <w:rFonts w:asciiTheme="majorHAnsi" w:hAnsiTheme="majorHAnsi"/>
        </w:rPr>
        <w:t>ing</w:t>
      </w:r>
      <w:r w:rsidRPr="002B0ECC">
        <w:rPr>
          <w:rFonts w:asciiTheme="majorHAnsi" w:hAnsiTheme="majorHAnsi"/>
        </w:rPr>
        <w:t xml:space="preserve"> NIH-wide understanding of current activities and opportunities</w:t>
      </w:r>
      <w:r>
        <w:rPr>
          <w:rFonts w:asciiTheme="majorHAnsi" w:hAnsiTheme="majorHAnsi"/>
        </w:rPr>
        <w:t xml:space="preserve"> related to CDEs</w:t>
      </w:r>
      <w:r w:rsidRPr="002B0ECC">
        <w:rPr>
          <w:rFonts w:asciiTheme="majorHAnsi" w:hAnsiTheme="majorHAnsi"/>
        </w:rPr>
        <w:t>.</w:t>
      </w:r>
    </w:p>
    <w:p w14:paraId="716FD1CD" w14:textId="77777777" w:rsidR="002B0ECC" w:rsidRPr="002B0ECC" w:rsidRDefault="002B0ECC" w:rsidP="002B0ECC">
      <w:pPr>
        <w:pStyle w:val="ListParagraph"/>
        <w:numPr>
          <w:ilvl w:val="0"/>
          <w:numId w:val="2"/>
        </w:numPr>
        <w:rPr>
          <w:rFonts w:asciiTheme="majorHAnsi" w:hAnsiTheme="majorHAnsi"/>
        </w:rPr>
      </w:pPr>
      <w:r w:rsidRPr="002B0ECC">
        <w:rPr>
          <w:rFonts w:asciiTheme="majorHAnsi" w:hAnsiTheme="majorHAnsi"/>
        </w:rPr>
        <w:t>Identify current barriers/challenges for the adoption and use of CDEs by NIH-funded researchers, both intramural and extramural.</w:t>
      </w:r>
    </w:p>
    <w:p w14:paraId="69D0A406" w14:textId="77777777" w:rsidR="002B0ECC" w:rsidRPr="002B0ECC" w:rsidRDefault="002B0ECC" w:rsidP="002B0ECC">
      <w:pPr>
        <w:pStyle w:val="ListParagraph"/>
        <w:numPr>
          <w:ilvl w:val="0"/>
          <w:numId w:val="2"/>
        </w:numPr>
        <w:rPr>
          <w:rFonts w:asciiTheme="majorHAnsi" w:hAnsiTheme="majorHAnsi"/>
        </w:rPr>
      </w:pPr>
      <w:r w:rsidRPr="002B0ECC">
        <w:rPr>
          <w:rFonts w:asciiTheme="majorHAnsi" w:hAnsiTheme="majorHAnsi"/>
        </w:rPr>
        <w:t>Identify possible ways to modify development, implementation, and use of CDEs to increase adoption and value to research</w:t>
      </w:r>
    </w:p>
    <w:p w14:paraId="04317272" w14:textId="77777777" w:rsidR="002B0ECC" w:rsidRPr="002B0ECC" w:rsidRDefault="002B0ECC" w:rsidP="002B0ECC">
      <w:pPr>
        <w:pStyle w:val="ListParagraph"/>
        <w:numPr>
          <w:ilvl w:val="0"/>
          <w:numId w:val="2"/>
        </w:numPr>
        <w:rPr>
          <w:rFonts w:asciiTheme="majorHAnsi" w:hAnsiTheme="majorHAnsi"/>
        </w:rPr>
      </w:pPr>
      <w:r w:rsidRPr="002B0ECC">
        <w:rPr>
          <w:rFonts w:asciiTheme="majorHAnsi" w:hAnsiTheme="majorHAnsi"/>
        </w:rPr>
        <w:t>Identify incentives and opportunities for involvement of relevant communities in CDE development, use, and re-use.</w:t>
      </w:r>
    </w:p>
    <w:p w14:paraId="780020FB" w14:textId="77777777" w:rsidR="002B0ECC" w:rsidRPr="002B0ECC" w:rsidRDefault="002B0ECC" w:rsidP="002B0ECC">
      <w:pPr>
        <w:pStyle w:val="ListParagraph"/>
        <w:numPr>
          <w:ilvl w:val="0"/>
          <w:numId w:val="2"/>
        </w:numPr>
        <w:rPr>
          <w:rFonts w:asciiTheme="majorHAnsi" w:hAnsiTheme="majorHAnsi"/>
        </w:rPr>
      </w:pPr>
      <w:r w:rsidRPr="002B0ECC">
        <w:rPr>
          <w:rFonts w:asciiTheme="majorHAnsi" w:hAnsiTheme="majorHAnsi"/>
        </w:rPr>
        <w:t>Develop evaluation plans for CDEs to test their assumed utility.</w:t>
      </w:r>
    </w:p>
    <w:p w14:paraId="37FE2569" w14:textId="77777777" w:rsidR="002B0ECC" w:rsidRPr="002B0ECC" w:rsidRDefault="002B0ECC" w:rsidP="002B0ECC">
      <w:pPr>
        <w:pStyle w:val="ListParagraph"/>
        <w:numPr>
          <w:ilvl w:val="0"/>
          <w:numId w:val="2"/>
        </w:numPr>
        <w:rPr>
          <w:rFonts w:asciiTheme="majorHAnsi" w:hAnsiTheme="majorHAnsi"/>
        </w:rPr>
      </w:pPr>
      <w:r w:rsidRPr="002B0ECC">
        <w:rPr>
          <w:rFonts w:asciiTheme="majorHAnsi" w:hAnsiTheme="majorHAnsi"/>
        </w:rPr>
        <w:t>Identify opportunities to improve coordination in the development of CDEs for research use and in infrastructure for developing and making them accessible.</w:t>
      </w:r>
    </w:p>
    <w:p w14:paraId="2BEDFA19" w14:textId="77777777" w:rsidR="002B0ECC" w:rsidRPr="002B0ECC" w:rsidRDefault="002B0ECC" w:rsidP="002B0ECC">
      <w:pPr>
        <w:pStyle w:val="ListParagraph"/>
        <w:numPr>
          <w:ilvl w:val="0"/>
          <w:numId w:val="2"/>
        </w:numPr>
        <w:rPr>
          <w:rFonts w:asciiTheme="majorHAnsi" w:hAnsiTheme="majorHAnsi"/>
        </w:rPr>
      </w:pPr>
      <w:r w:rsidRPr="002B0ECC">
        <w:rPr>
          <w:rFonts w:asciiTheme="majorHAnsi" w:hAnsiTheme="majorHAnsi"/>
        </w:rPr>
        <w:t>Determine how best to support CDE activities in the context of BD2K</w:t>
      </w:r>
    </w:p>
    <w:p w14:paraId="63A05976" w14:textId="77777777" w:rsidR="002B0ECC" w:rsidRDefault="002B0ECC">
      <w:pPr>
        <w:rPr>
          <w:rFonts w:asciiTheme="majorHAnsi" w:hAnsiTheme="majorHAnsi"/>
        </w:rPr>
      </w:pPr>
    </w:p>
    <w:p w14:paraId="16FB623E" w14:textId="279304B2" w:rsidR="00011C14" w:rsidRDefault="00011C14">
      <w:pPr>
        <w:rPr>
          <w:rFonts w:asciiTheme="majorHAnsi" w:hAnsiTheme="majorHAnsi"/>
        </w:rPr>
      </w:pPr>
      <w:r>
        <w:rPr>
          <w:rFonts w:asciiTheme="majorHAnsi" w:hAnsiTheme="majorHAnsi"/>
        </w:rPr>
        <w:t>Prior to the Workshop, a preparatory webinar was held on September 8, 2015.  This webinar included presentations from several ongoing CDE programs by NIH staff</w:t>
      </w:r>
      <w:r w:rsidR="00A937B2">
        <w:rPr>
          <w:rFonts w:asciiTheme="majorHAnsi" w:hAnsiTheme="majorHAnsi"/>
        </w:rPr>
        <w:t>, who are engaged in the BMIC CDE Working Group</w:t>
      </w:r>
      <w:r>
        <w:rPr>
          <w:rFonts w:asciiTheme="majorHAnsi" w:hAnsiTheme="majorHAnsi"/>
        </w:rPr>
        <w:t xml:space="preserve">.  This webinar and its presentations are archived on the </w:t>
      </w:r>
      <w:r w:rsidR="00A937B2">
        <w:rPr>
          <w:rFonts w:asciiTheme="majorHAnsi" w:hAnsiTheme="majorHAnsi"/>
        </w:rPr>
        <w:t>NIH CDE Resources Portal</w:t>
      </w:r>
      <w:r>
        <w:rPr>
          <w:rFonts w:asciiTheme="majorHAnsi" w:hAnsiTheme="majorHAnsi"/>
        </w:rPr>
        <w:t xml:space="preserve">.  </w:t>
      </w:r>
    </w:p>
    <w:p w14:paraId="7888F1DF" w14:textId="77777777" w:rsidR="00011C14" w:rsidRDefault="00011C14">
      <w:pPr>
        <w:rPr>
          <w:rFonts w:asciiTheme="majorHAnsi" w:hAnsiTheme="majorHAnsi"/>
        </w:rPr>
      </w:pPr>
    </w:p>
    <w:p w14:paraId="1994EF8B" w14:textId="082C1992" w:rsidR="002B0ECC" w:rsidRDefault="002B0ECC">
      <w:pPr>
        <w:rPr>
          <w:rFonts w:asciiTheme="majorHAnsi" w:hAnsiTheme="majorHAnsi"/>
        </w:rPr>
      </w:pPr>
      <w:r>
        <w:rPr>
          <w:rFonts w:asciiTheme="majorHAnsi" w:hAnsiTheme="majorHAnsi"/>
        </w:rPr>
        <w:t xml:space="preserve">The </w:t>
      </w:r>
      <w:r w:rsidR="00011C14">
        <w:rPr>
          <w:rFonts w:asciiTheme="majorHAnsi" w:hAnsiTheme="majorHAnsi"/>
        </w:rPr>
        <w:t xml:space="preserve">September 30 </w:t>
      </w:r>
      <w:r>
        <w:rPr>
          <w:rFonts w:asciiTheme="majorHAnsi" w:hAnsiTheme="majorHAnsi"/>
        </w:rPr>
        <w:t xml:space="preserve">workshop </w:t>
      </w:r>
      <w:r w:rsidR="00011C14">
        <w:rPr>
          <w:rFonts w:asciiTheme="majorHAnsi" w:hAnsiTheme="majorHAnsi"/>
        </w:rPr>
        <w:t xml:space="preserve">opened </w:t>
      </w:r>
      <w:r>
        <w:rPr>
          <w:rFonts w:asciiTheme="majorHAnsi" w:hAnsiTheme="majorHAnsi"/>
        </w:rPr>
        <w:t>with an introduction by the NIH Associate Director for Data Science, Dr. Phil Bourne to the “FAIR” principles, that data and other resources should be Findable, Accessible, Interoperable, and Re-usable, followed by an update on the status of the NIH Scientific Data Council.  Drs. Dina Paltoo and JP Kim then gave a presentation and led a discussion on Data Sharing: How CDEs might fit into NIH’s Data Management and Sharing Policies.  Acting Director of the National Library of Medicine, Betsy Humphreys then gave a</w:t>
      </w:r>
      <w:r w:rsidR="00011C14">
        <w:rPr>
          <w:rFonts w:asciiTheme="majorHAnsi" w:hAnsiTheme="majorHAnsi"/>
        </w:rPr>
        <w:t>n over</w:t>
      </w:r>
      <w:r>
        <w:rPr>
          <w:rFonts w:asciiTheme="majorHAnsi" w:hAnsiTheme="majorHAnsi"/>
        </w:rPr>
        <w:t xml:space="preserve">view of the focus and charge of five break-out groups.  Attendees split into groups, and </w:t>
      </w:r>
      <w:r w:rsidR="00205B0E">
        <w:rPr>
          <w:rFonts w:asciiTheme="majorHAnsi" w:hAnsiTheme="majorHAnsi"/>
        </w:rPr>
        <w:t xml:space="preserve">at the end of the day </w:t>
      </w:r>
      <w:r>
        <w:rPr>
          <w:rFonts w:asciiTheme="majorHAnsi" w:hAnsiTheme="majorHAnsi"/>
        </w:rPr>
        <w:t xml:space="preserve">each group reported back on their discussions and </w:t>
      </w:r>
      <w:r w:rsidR="00E938B2">
        <w:rPr>
          <w:rFonts w:asciiTheme="majorHAnsi" w:hAnsiTheme="majorHAnsi"/>
        </w:rPr>
        <w:t>recommendations</w:t>
      </w:r>
      <w:r>
        <w:rPr>
          <w:rFonts w:asciiTheme="majorHAnsi" w:hAnsiTheme="majorHAnsi"/>
        </w:rPr>
        <w:t xml:space="preserve">.  This report </w:t>
      </w:r>
      <w:r w:rsidR="00011C14">
        <w:rPr>
          <w:rFonts w:asciiTheme="majorHAnsi" w:hAnsiTheme="majorHAnsi"/>
        </w:rPr>
        <w:t>includes</w:t>
      </w:r>
      <w:r>
        <w:rPr>
          <w:rFonts w:asciiTheme="majorHAnsi" w:hAnsiTheme="majorHAnsi"/>
        </w:rPr>
        <w:t xml:space="preserve"> the top </w:t>
      </w:r>
      <w:r w:rsidR="00E938B2">
        <w:rPr>
          <w:rFonts w:asciiTheme="majorHAnsi" w:hAnsiTheme="majorHAnsi"/>
        </w:rPr>
        <w:t>recommendations</w:t>
      </w:r>
      <w:r>
        <w:rPr>
          <w:rFonts w:asciiTheme="majorHAnsi" w:hAnsiTheme="majorHAnsi"/>
        </w:rPr>
        <w:t xml:space="preserve"> </w:t>
      </w:r>
      <w:r w:rsidR="00205B0E">
        <w:rPr>
          <w:rFonts w:asciiTheme="majorHAnsi" w:hAnsiTheme="majorHAnsi"/>
        </w:rPr>
        <w:t xml:space="preserve">arising </w:t>
      </w:r>
      <w:r>
        <w:rPr>
          <w:rFonts w:asciiTheme="majorHAnsi" w:hAnsiTheme="majorHAnsi"/>
        </w:rPr>
        <w:t xml:space="preserve">from the </w:t>
      </w:r>
      <w:r w:rsidR="00205B0E">
        <w:rPr>
          <w:rFonts w:asciiTheme="majorHAnsi" w:hAnsiTheme="majorHAnsi"/>
        </w:rPr>
        <w:t xml:space="preserve">break-out groups. </w:t>
      </w:r>
    </w:p>
    <w:p w14:paraId="2FB03EAD" w14:textId="77777777" w:rsidR="00E938B2" w:rsidRDefault="00E938B2">
      <w:pPr>
        <w:rPr>
          <w:rFonts w:asciiTheme="majorHAnsi" w:hAnsiTheme="majorHAnsi"/>
        </w:rPr>
      </w:pPr>
    </w:p>
    <w:p w14:paraId="176138D5" w14:textId="77777777" w:rsidR="00E938B2" w:rsidRDefault="00205B0E">
      <w:pPr>
        <w:rPr>
          <w:rFonts w:asciiTheme="majorHAnsi" w:hAnsiTheme="majorHAnsi"/>
          <w:b/>
          <w:sz w:val="28"/>
        </w:rPr>
      </w:pPr>
      <w:r w:rsidRPr="009E4186">
        <w:rPr>
          <w:rFonts w:asciiTheme="majorHAnsi" w:hAnsiTheme="majorHAnsi"/>
          <w:b/>
          <w:sz w:val="28"/>
        </w:rPr>
        <w:t>Recommendations:</w:t>
      </w:r>
    </w:p>
    <w:p w14:paraId="7EB66113" w14:textId="77777777" w:rsidR="009E4186" w:rsidRPr="009E4186" w:rsidRDefault="009E4186">
      <w:pPr>
        <w:rPr>
          <w:rFonts w:asciiTheme="majorHAnsi" w:hAnsiTheme="majorHAnsi"/>
          <w:b/>
          <w:sz w:val="28"/>
        </w:rPr>
      </w:pPr>
    </w:p>
    <w:p w14:paraId="265B59BC" w14:textId="48126D58" w:rsidR="00337E78" w:rsidRPr="009E4186" w:rsidRDefault="00337E78" w:rsidP="009E4186">
      <w:pPr>
        <w:pStyle w:val="ListParagraph"/>
        <w:numPr>
          <w:ilvl w:val="0"/>
          <w:numId w:val="5"/>
        </w:numPr>
        <w:spacing w:after="60"/>
        <w:ind w:left="360"/>
        <w:contextualSpacing w:val="0"/>
        <w:rPr>
          <w:rFonts w:asciiTheme="majorHAnsi" w:hAnsiTheme="majorHAnsi"/>
          <w:b/>
        </w:rPr>
      </w:pPr>
      <w:r w:rsidRPr="009E4186">
        <w:rPr>
          <w:rFonts w:asciiTheme="majorHAnsi" w:hAnsiTheme="majorHAnsi"/>
          <w:b/>
        </w:rPr>
        <w:t xml:space="preserve">Establish </w:t>
      </w:r>
      <w:r w:rsidR="00751E69" w:rsidRPr="009E4186">
        <w:rPr>
          <w:rFonts w:asciiTheme="majorHAnsi" w:hAnsiTheme="majorHAnsi"/>
          <w:b/>
        </w:rPr>
        <w:t xml:space="preserve">NIH </w:t>
      </w:r>
      <w:r w:rsidRPr="009E4186">
        <w:rPr>
          <w:rFonts w:asciiTheme="majorHAnsi" w:hAnsiTheme="majorHAnsi"/>
          <w:b/>
        </w:rPr>
        <w:t xml:space="preserve">wide </w:t>
      </w:r>
      <w:r w:rsidR="00751E69" w:rsidRPr="009E4186">
        <w:rPr>
          <w:rFonts w:asciiTheme="majorHAnsi" w:hAnsiTheme="majorHAnsi"/>
          <w:b/>
        </w:rPr>
        <w:t>CDE</w:t>
      </w:r>
      <w:r w:rsidR="00250D53" w:rsidRPr="009E4186">
        <w:rPr>
          <w:rFonts w:asciiTheme="majorHAnsi" w:hAnsiTheme="majorHAnsi"/>
          <w:b/>
        </w:rPr>
        <w:t>-related</w:t>
      </w:r>
      <w:r w:rsidR="00751E69" w:rsidRPr="009E4186">
        <w:rPr>
          <w:rFonts w:asciiTheme="majorHAnsi" w:hAnsiTheme="majorHAnsi"/>
          <w:b/>
        </w:rPr>
        <w:t xml:space="preserve"> governa</w:t>
      </w:r>
      <w:r w:rsidR="00250D53" w:rsidRPr="009E4186">
        <w:rPr>
          <w:rFonts w:asciiTheme="majorHAnsi" w:hAnsiTheme="majorHAnsi"/>
          <w:b/>
        </w:rPr>
        <w:t>nce</w:t>
      </w:r>
      <w:r w:rsidR="00751E69" w:rsidRPr="009E4186">
        <w:rPr>
          <w:rFonts w:asciiTheme="majorHAnsi" w:hAnsiTheme="majorHAnsi"/>
          <w:b/>
        </w:rPr>
        <w:t xml:space="preserve">. </w:t>
      </w:r>
    </w:p>
    <w:p w14:paraId="3891FB53" w14:textId="01777B95" w:rsidR="00DB728D" w:rsidRPr="009E4186" w:rsidRDefault="00205B0E" w:rsidP="009E4186">
      <w:pPr>
        <w:spacing w:after="60"/>
        <w:ind w:left="360"/>
        <w:rPr>
          <w:rFonts w:asciiTheme="majorHAnsi" w:hAnsiTheme="majorHAnsi"/>
        </w:rPr>
      </w:pPr>
      <w:r w:rsidRPr="009E4186">
        <w:rPr>
          <w:rFonts w:asciiTheme="majorHAnsi" w:hAnsiTheme="majorHAnsi"/>
        </w:rPr>
        <w:t xml:space="preserve">NIH should ensure there is NIH </w:t>
      </w:r>
      <w:r w:rsidR="00011C14" w:rsidRPr="009E4186">
        <w:rPr>
          <w:rFonts w:asciiTheme="majorHAnsi" w:hAnsiTheme="majorHAnsi"/>
        </w:rPr>
        <w:t xml:space="preserve">wide </w:t>
      </w:r>
      <w:r w:rsidRPr="009E4186">
        <w:rPr>
          <w:rFonts w:asciiTheme="majorHAnsi" w:hAnsiTheme="majorHAnsi"/>
        </w:rPr>
        <w:t xml:space="preserve">governance and oversight of CDE-related </w:t>
      </w:r>
      <w:r w:rsidR="00DB728D" w:rsidRPr="009E4186">
        <w:rPr>
          <w:rFonts w:asciiTheme="majorHAnsi" w:hAnsiTheme="majorHAnsi"/>
        </w:rPr>
        <w:t xml:space="preserve">policy and </w:t>
      </w:r>
      <w:r w:rsidR="00011C14" w:rsidRPr="009E4186">
        <w:rPr>
          <w:rFonts w:asciiTheme="majorHAnsi" w:hAnsiTheme="majorHAnsi"/>
        </w:rPr>
        <w:t>coordination</w:t>
      </w:r>
      <w:r w:rsidRPr="009E4186">
        <w:rPr>
          <w:rFonts w:asciiTheme="majorHAnsi" w:hAnsiTheme="majorHAnsi"/>
        </w:rPr>
        <w:t xml:space="preserve"> in the context of broad data sharing.  </w:t>
      </w:r>
    </w:p>
    <w:p w14:paraId="1DAFFB0B" w14:textId="1C465B63" w:rsidR="00DB728D" w:rsidRDefault="00205B0E" w:rsidP="009E4186">
      <w:pPr>
        <w:pStyle w:val="ListParagraph"/>
        <w:numPr>
          <w:ilvl w:val="0"/>
          <w:numId w:val="8"/>
        </w:numPr>
        <w:spacing w:after="60"/>
        <w:contextualSpacing w:val="0"/>
        <w:rPr>
          <w:rFonts w:asciiTheme="majorHAnsi" w:hAnsiTheme="majorHAnsi"/>
        </w:rPr>
      </w:pPr>
      <w:r>
        <w:rPr>
          <w:rFonts w:asciiTheme="majorHAnsi" w:hAnsiTheme="majorHAnsi"/>
        </w:rPr>
        <w:t xml:space="preserve">It </w:t>
      </w:r>
      <w:r w:rsidR="00A937B2">
        <w:rPr>
          <w:rFonts w:asciiTheme="majorHAnsi" w:hAnsiTheme="majorHAnsi"/>
        </w:rPr>
        <w:t xml:space="preserve">is </w:t>
      </w:r>
      <w:r>
        <w:rPr>
          <w:rFonts w:asciiTheme="majorHAnsi" w:hAnsiTheme="majorHAnsi"/>
        </w:rPr>
        <w:t>recommended that this group report to the Scientific Data Council</w:t>
      </w:r>
      <w:r w:rsidR="00A937B2">
        <w:rPr>
          <w:rFonts w:asciiTheme="majorHAnsi" w:hAnsiTheme="majorHAnsi"/>
        </w:rPr>
        <w:t xml:space="preserve">, who is responsible for data sharing oversight and policy. </w:t>
      </w:r>
    </w:p>
    <w:p w14:paraId="4E27EF6A" w14:textId="4C69610B" w:rsidR="00A937B2" w:rsidRDefault="00A937B2" w:rsidP="009E4186">
      <w:pPr>
        <w:pStyle w:val="ListParagraph"/>
        <w:numPr>
          <w:ilvl w:val="0"/>
          <w:numId w:val="8"/>
        </w:numPr>
        <w:spacing w:after="60"/>
        <w:contextualSpacing w:val="0"/>
        <w:rPr>
          <w:rFonts w:asciiTheme="majorHAnsi" w:hAnsiTheme="majorHAnsi"/>
        </w:rPr>
      </w:pPr>
      <w:r>
        <w:rPr>
          <w:rFonts w:asciiTheme="majorHAnsi" w:hAnsiTheme="majorHAnsi"/>
        </w:rPr>
        <w:lastRenderedPageBreak/>
        <w:t xml:space="preserve">The NIH CDE Governance Group </w:t>
      </w:r>
      <w:r w:rsidR="00250D53">
        <w:rPr>
          <w:rFonts w:asciiTheme="majorHAnsi" w:hAnsiTheme="majorHAnsi"/>
        </w:rPr>
        <w:t>sh</w:t>
      </w:r>
      <w:r w:rsidR="002A1595">
        <w:rPr>
          <w:rFonts w:asciiTheme="majorHAnsi" w:hAnsiTheme="majorHAnsi"/>
        </w:rPr>
        <w:t xml:space="preserve">ould address issues of NIH wide CDE policy and coordination among NIH ICs, with other federal agencies, the academic research community, and the private sector. </w:t>
      </w:r>
    </w:p>
    <w:p w14:paraId="1B782C3B" w14:textId="01BCD33E" w:rsidR="002A1595" w:rsidRDefault="002A1595" w:rsidP="009E4186">
      <w:pPr>
        <w:pStyle w:val="ListParagraph"/>
        <w:numPr>
          <w:ilvl w:val="0"/>
          <w:numId w:val="8"/>
        </w:numPr>
        <w:spacing w:after="60"/>
        <w:contextualSpacing w:val="0"/>
        <w:rPr>
          <w:rFonts w:asciiTheme="majorHAnsi" w:hAnsiTheme="majorHAnsi"/>
        </w:rPr>
      </w:pPr>
      <w:r>
        <w:rPr>
          <w:rFonts w:asciiTheme="majorHAnsi" w:hAnsiTheme="majorHAnsi"/>
        </w:rPr>
        <w:t xml:space="preserve">The NIH CDE Governance Group should include representation from all </w:t>
      </w:r>
      <w:r w:rsidR="00337E78">
        <w:rPr>
          <w:rFonts w:asciiTheme="majorHAnsi" w:hAnsiTheme="majorHAnsi"/>
        </w:rPr>
        <w:t xml:space="preserve">NIH </w:t>
      </w:r>
      <w:r>
        <w:rPr>
          <w:rFonts w:asciiTheme="majorHAnsi" w:hAnsiTheme="majorHAnsi"/>
        </w:rPr>
        <w:t xml:space="preserve">ICs to ensure </w:t>
      </w:r>
      <w:r w:rsidR="00337E78">
        <w:rPr>
          <w:rFonts w:asciiTheme="majorHAnsi" w:hAnsiTheme="majorHAnsi"/>
        </w:rPr>
        <w:t xml:space="preserve">NIH wide </w:t>
      </w:r>
      <w:r w:rsidR="00250D53">
        <w:rPr>
          <w:rFonts w:asciiTheme="majorHAnsi" w:hAnsiTheme="majorHAnsi"/>
        </w:rPr>
        <w:t xml:space="preserve">CDE </w:t>
      </w:r>
      <w:r>
        <w:rPr>
          <w:rFonts w:asciiTheme="majorHAnsi" w:hAnsiTheme="majorHAnsi"/>
        </w:rPr>
        <w:t xml:space="preserve">coordination and policies </w:t>
      </w:r>
      <w:r w:rsidR="00337E78">
        <w:rPr>
          <w:rFonts w:asciiTheme="majorHAnsi" w:hAnsiTheme="majorHAnsi"/>
        </w:rPr>
        <w:t>enhance the work of all ICs</w:t>
      </w:r>
      <w:r>
        <w:rPr>
          <w:rFonts w:asciiTheme="majorHAnsi" w:hAnsiTheme="majorHAnsi"/>
        </w:rPr>
        <w:t xml:space="preserve">. </w:t>
      </w:r>
    </w:p>
    <w:p w14:paraId="07CE0FE2" w14:textId="14DDED58" w:rsidR="00205B0E" w:rsidRDefault="00205B0E" w:rsidP="009E4186">
      <w:pPr>
        <w:pStyle w:val="ListParagraph"/>
        <w:numPr>
          <w:ilvl w:val="0"/>
          <w:numId w:val="8"/>
        </w:numPr>
        <w:spacing w:after="240"/>
        <w:contextualSpacing w:val="0"/>
        <w:rPr>
          <w:rFonts w:asciiTheme="majorHAnsi" w:hAnsiTheme="majorHAnsi"/>
        </w:rPr>
      </w:pPr>
      <w:r>
        <w:rPr>
          <w:rFonts w:asciiTheme="majorHAnsi" w:hAnsiTheme="majorHAnsi"/>
        </w:rPr>
        <w:t>Th</w:t>
      </w:r>
      <w:r w:rsidR="00A937B2">
        <w:rPr>
          <w:rFonts w:asciiTheme="majorHAnsi" w:hAnsiTheme="majorHAnsi"/>
        </w:rPr>
        <w:t>e</w:t>
      </w:r>
      <w:r w:rsidR="002A1595">
        <w:rPr>
          <w:rFonts w:asciiTheme="majorHAnsi" w:hAnsiTheme="majorHAnsi"/>
        </w:rPr>
        <w:t xml:space="preserve"> NIH </w:t>
      </w:r>
      <w:r w:rsidR="00A937B2">
        <w:rPr>
          <w:rFonts w:asciiTheme="majorHAnsi" w:hAnsiTheme="majorHAnsi"/>
        </w:rPr>
        <w:t>policies</w:t>
      </w:r>
      <w:r w:rsidR="002A1595">
        <w:rPr>
          <w:rFonts w:asciiTheme="majorHAnsi" w:hAnsiTheme="majorHAnsi"/>
        </w:rPr>
        <w:t xml:space="preserve"> and practices</w:t>
      </w:r>
      <w:r w:rsidR="00A937B2">
        <w:rPr>
          <w:rFonts w:asciiTheme="majorHAnsi" w:hAnsiTheme="majorHAnsi"/>
        </w:rPr>
        <w:t xml:space="preserve"> </w:t>
      </w:r>
      <w:r>
        <w:rPr>
          <w:rFonts w:asciiTheme="majorHAnsi" w:hAnsiTheme="majorHAnsi"/>
        </w:rPr>
        <w:t xml:space="preserve">should build on and incorporate the </w:t>
      </w:r>
      <w:r w:rsidR="00A937B2">
        <w:rPr>
          <w:rFonts w:asciiTheme="majorHAnsi" w:hAnsiTheme="majorHAnsi"/>
        </w:rPr>
        <w:t xml:space="preserve">work and expertise of the </w:t>
      </w:r>
      <w:r>
        <w:rPr>
          <w:rFonts w:asciiTheme="majorHAnsi" w:hAnsiTheme="majorHAnsi"/>
        </w:rPr>
        <w:t>existing BMIC CDE working group</w:t>
      </w:r>
      <w:r w:rsidR="002A1595">
        <w:rPr>
          <w:rFonts w:asciiTheme="majorHAnsi" w:hAnsiTheme="majorHAnsi"/>
        </w:rPr>
        <w:t xml:space="preserve">, which includes </w:t>
      </w:r>
      <w:r w:rsidR="00337E78">
        <w:rPr>
          <w:rFonts w:asciiTheme="majorHAnsi" w:hAnsiTheme="majorHAnsi"/>
        </w:rPr>
        <w:t>NIH staff with deep experience in multiple CDE programs</w:t>
      </w:r>
      <w:r>
        <w:rPr>
          <w:rFonts w:asciiTheme="majorHAnsi" w:hAnsiTheme="majorHAnsi"/>
        </w:rPr>
        <w:t>.</w:t>
      </w:r>
    </w:p>
    <w:p w14:paraId="6AAF2F50" w14:textId="2C866A4F" w:rsidR="00250D53" w:rsidRPr="009E4186" w:rsidRDefault="00250D53" w:rsidP="009E4186">
      <w:pPr>
        <w:pStyle w:val="ListParagraph"/>
        <w:numPr>
          <w:ilvl w:val="0"/>
          <w:numId w:val="5"/>
        </w:numPr>
        <w:spacing w:after="60"/>
        <w:ind w:left="360"/>
        <w:contextualSpacing w:val="0"/>
        <w:rPr>
          <w:rFonts w:asciiTheme="majorHAnsi" w:hAnsiTheme="majorHAnsi"/>
          <w:b/>
        </w:rPr>
      </w:pPr>
      <w:r w:rsidRPr="009E4186">
        <w:rPr>
          <w:rFonts w:asciiTheme="majorHAnsi" w:hAnsiTheme="majorHAnsi"/>
          <w:b/>
        </w:rPr>
        <w:t xml:space="preserve">Ensure NIH </w:t>
      </w:r>
      <w:r w:rsidR="00452606" w:rsidRPr="009E4186">
        <w:rPr>
          <w:rFonts w:asciiTheme="majorHAnsi" w:hAnsiTheme="majorHAnsi"/>
          <w:b/>
        </w:rPr>
        <w:t xml:space="preserve">wide </w:t>
      </w:r>
      <w:r w:rsidRPr="009E4186">
        <w:rPr>
          <w:rFonts w:asciiTheme="majorHAnsi" w:hAnsiTheme="majorHAnsi"/>
          <w:b/>
        </w:rPr>
        <w:t xml:space="preserve">forum for sharing and harmonization </w:t>
      </w:r>
      <w:r w:rsidR="00452606" w:rsidRPr="009E4186">
        <w:rPr>
          <w:rFonts w:asciiTheme="majorHAnsi" w:hAnsiTheme="majorHAnsi"/>
          <w:b/>
        </w:rPr>
        <w:t>across</w:t>
      </w:r>
      <w:r w:rsidR="0087173D" w:rsidRPr="009E4186">
        <w:rPr>
          <w:rFonts w:asciiTheme="majorHAnsi" w:hAnsiTheme="majorHAnsi"/>
          <w:b/>
        </w:rPr>
        <w:t xml:space="preserve"> </w:t>
      </w:r>
      <w:r w:rsidR="00452606" w:rsidRPr="009E4186">
        <w:rPr>
          <w:rFonts w:asciiTheme="majorHAnsi" w:hAnsiTheme="majorHAnsi"/>
          <w:b/>
        </w:rPr>
        <w:t xml:space="preserve">NIH </w:t>
      </w:r>
      <w:r w:rsidR="0087173D" w:rsidRPr="009E4186">
        <w:rPr>
          <w:rFonts w:asciiTheme="majorHAnsi" w:hAnsiTheme="majorHAnsi"/>
          <w:b/>
        </w:rPr>
        <w:t xml:space="preserve">CDE </w:t>
      </w:r>
      <w:r w:rsidR="00452606" w:rsidRPr="009E4186">
        <w:rPr>
          <w:rFonts w:asciiTheme="majorHAnsi" w:hAnsiTheme="majorHAnsi"/>
          <w:b/>
        </w:rPr>
        <w:t>programs</w:t>
      </w:r>
      <w:r w:rsidRPr="009E4186">
        <w:rPr>
          <w:rFonts w:asciiTheme="majorHAnsi" w:hAnsiTheme="majorHAnsi"/>
          <w:b/>
        </w:rPr>
        <w:t>.</w:t>
      </w:r>
    </w:p>
    <w:p w14:paraId="40C09BBC" w14:textId="354CE29B" w:rsidR="00452606" w:rsidRDefault="0087173D" w:rsidP="009E4186">
      <w:pPr>
        <w:spacing w:after="60"/>
        <w:ind w:left="360"/>
        <w:rPr>
          <w:rFonts w:asciiTheme="majorHAnsi" w:hAnsiTheme="majorHAnsi"/>
        </w:rPr>
      </w:pPr>
      <w:r>
        <w:rPr>
          <w:rFonts w:asciiTheme="majorHAnsi" w:hAnsiTheme="majorHAnsi"/>
        </w:rPr>
        <w:t xml:space="preserve">The </w:t>
      </w:r>
      <w:r w:rsidR="00364266">
        <w:rPr>
          <w:rFonts w:asciiTheme="majorHAnsi" w:hAnsiTheme="majorHAnsi"/>
        </w:rPr>
        <w:t xml:space="preserve">Trans-NIH </w:t>
      </w:r>
      <w:r>
        <w:rPr>
          <w:rFonts w:asciiTheme="majorHAnsi" w:hAnsiTheme="majorHAnsi"/>
        </w:rPr>
        <w:t>B</w:t>
      </w:r>
      <w:r w:rsidR="00452606">
        <w:rPr>
          <w:rFonts w:asciiTheme="majorHAnsi" w:hAnsiTheme="majorHAnsi"/>
        </w:rPr>
        <w:t>iomedical Informatics Committee (B</w:t>
      </w:r>
      <w:r>
        <w:rPr>
          <w:rFonts w:asciiTheme="majorHAnsi" w:hAnsiTheme="majorHAnsi"/>
        </w:rPr>
        <w:t>MIC</w:t>
      </w:r>
      <w:r w:rsidR="00452606">
        <w:rPr>
          <w:rFonts w:asciiTheme="majorHAnsi" w:hAnsiTheme="majorHAnsi"/>
        </w:rPr>
        <w:t>)</w:t>
      </w:r>
      <w:r>
        <w:rPr>
          <w:rFonts w:asciiTheme="majorHAnsi" w:hAnsiTheme="majorHAnsi"/>
        </w:rPr>
        <w:t xml:space="preserve"> established a subcommittee of </w:t>
      </w:r>
      <w:r w:rsidR="00452606">
        <w:rPr>
          <w:rFonts w:asciiTheme="majorHAnsi" w:hAnsiTheme="majorHAnsi"/>
        </w:rPr>
        <w:t xml:space="preserve">technical and program </w:t>
      </w:r>
      <w:r>
        <w:rPr>
          <w:rFonts w:asciiTheme="majorHAnsi" w:hAnsiTheme="majorHAnsi"/>
        </w:rPr>
        <w:t xml:space="preserve">leaders of NIH CDE programs to share and document their experience in developing, managing, and providing </w:t>
      </w:r>
      <w:r w:rsidR="0015509B">
        <w:rPr>
          <w:rFonts w:asciiTheme="majorHAnsi" w:hAnsiTheme="majorHAnsi"/>
        </w:rPr>
        <w:t>CDEs for their research communities.  This group has enabled information sharing across broad and diverse sets of CDE</w:t>
      </w:r>
      <w:r w:rsidR="00287D0E">
        <w:rPr>
          <w:rFonts w:asciiTheme="majorHAnsi" w:hAnsiTheme="majorHAnsi"/>
        </w:rPr>
        <w:t xml:space="preserve"> programs</w:t>
      </w:r>
      <w:r w:rsidR="0015509B">
        <w:rPr>
          <w:rFonts w:asciiTheme="majorHAnsi" w:hAnsiTheme="majorHAnsi"/>
        </w:rPr>
        <w:t xml:space="preserve"> leading to an appreciation and respect for the commonalities and differences of various CDEs.  </w:t>
      </w:r>
      <w:r w:rsidR="00452606">
        <w:rPr>
          <w:rFonts w:asciiTheme="majorHAnsi" w:hAnsiTheme="majorHAnsi"/>
        </w:rPr>
        <w:t xml:space="preserve">This forum should continue and these technical and program leaders should </w:t>
      </w:r>
      <w:r w:rsidR="00287D0E">
        <w:rPr>
          <w:rFonts w:asciiTheme="majorHAnsi" w:hAnsiTheme="majorHAnsi"/>
        </w:rPr>
        <w:t xml:space="preserve">provide input and recommendations to the </w:t>
      </w:r>
      <w:r w:rsidR="00452606">
        <w:rPr>
          <w:rFonts w:asciiTheme="majorHAnsi" w:hAnsiTheme="majorHAnsi"/>
        </w:rPr>
        <w:t xml:space="preserve">NIH CDE Governance Group concerning NIH wide </w:t>
      </w:r>
      <w:r w:rsidR="00287D0E">
        <w:rPr>
          <w:rFonts w:asciiTheme="majorHAnsi" w:hAnsiTheme="majorHAnsi"/>
        </w:rPr>
        <w:t>policies</w:t>
      </w:r>
      <w:r w:rsidR="00452606">
        <w:rPr>
          <w:rFonts w:asciiTheme="majorHAnsi" w:hAnsiTheme="majorHAnsi"/>
        </w:rPr>
        <w:t>.</w:t>
      </w:r>
    </w:p>
    <w:p w14:paraId="0744160A" w14:textId="45BD3F68" w:rsidR="00751E69" w:rsidRPr="009E4186" w:rsidRDefault="00751E69" w:rsidP="009E4186">
      <w:pPr>
        <w:spacing w:after="60"/>
        <w:ind w:left="360"/>
        <w:rPr>
          <w:rFonts w:asciiTheme="majorHAnsi" w:hAnsiTheme="majorHAnsi"/>
        </w:rPr>
      </w:pPr>
      <w:r w:rsidRPr="009E4186">
        <w:rPr>
          <w:rFonts w:asciiTheme="majorHAnsi" w:hAnsiTheme="majorHAnsi"/>
        </w:rPr>
        <w:t xml:space="preserve">This </w:t>
      </w:r>
      <w:r w:rsidR="00452606">
        <w:rPr>
          <w:rFonts w:asciiTheme="majorHAnsi" w:hAnsiTheme="majorHAnsi"/>
        </w:rPr>
        <w:t>program/</w:t>
      </w:r>
      <w:r w:rsidRPr="009E4186">
        <w:rPr>
          <w:rFonts w:asciiTheme="majorHAnsi" w:hAnsiTheme="majorHAnsi"/>
        </w:rPr>
        <w:t xml:space="preserve">technical </w:t>
      </w:r>
      <w:r w:rsidR="00452606">
        <w:rPr>
          <w:rFonts w:asciiTheme="majorHAnsi" w:hAnsiTheme="majorHAnsi"/>
        </w:rPr>
        <w:t>forum should</w:t>
      </w:r>
      <w:r w:rsidRPr="009E4186">
        <w:rPr>
          <w:rFonts w:asciiTheme="majorHAnsi" w:hAnsiTheme="majorHAnsi"/>
        </w:rPr>
        <w:t>:</w:t>
      </w:r>
    </w:p>
    <w:p w14:paraId="6440387A" w14:textId="77777777" w:rsidR="00795B39" w:rsidRDefault="00795B39" w:rsidP="00795B39">
      <w:pPr>
        <w:pStyle w:val="ListParagraph"/>
        <w:numPr>
          <w:ilvl w:val="0"/>
          <w:numId w:val="4"/>
        </w:numPr>
        <w:spacing w:after="60"/>
        <w:contextualSpacing w:val="0"/>
        <w:rPr>
          <w:rFonts w:asciiTheme="majorHAnsi" w:hAnsiTheme="majorHAnsi"/>
        </w:rPr>
      </w:pPr>
      <w:r>
        <w:rPr>
          <w:rFonts w:asciiTheme="majorHAnsi" w:hAnsiTheme="majorHAnsi"/>
        </w:rPr>
        <w:t>Develop shared common practices for CDE development, adoption, harmonization, modification, versioning, and use.</w:t>
      </w:r>
    </w:p>
    <w:p w14:paraId="08436E09" w14:textId="619E192A" w:rsidR="00403B86" w:rsidRDefault="00403B86" w:rsidP="00403B86">
      <w:pPr>
        <w:pStyle w:val="ListParagraph"/>
        <w:numPr>
          <w:ilvl w:val="0"/>
          <w:numId w:val="4"/>
        </w:numPr>
        <w:spacing w:after="60"/>
        <w:contextualSpacing w:val="0"/>
        <w:rPr>
          <w:rFonts w:asciiTheme="majorHAnsi" w:hAnsiTheme="majorHAnsi"/>
        </w:rPr>
      </w:pPr>
      <w:r>
        <w:rPr>
          <w:rFonts w:asciiTheme="majorHAnsi" w:hAnsiTheme="majorHAnsi"/>
        </w:rPr>
        <w:t>Ensure appropriate flexibility such that NIH CDE programs can enable all types of research and address the needs of particular IC use cases and research</w:t>
      </w:r>
      <w:r w:rsidR="00364266">
        <w:rPr>
          <w:rFonts w:asciiTheme="majorHAnsi" w:hAnsiTheme="majorHAnsi"/>
        </w:rPr>
        <w:t>.</w:t>
      </w:r>
      <w:r>
        <w:rPr>
          <w:rFonts w:asciiTheme="majorHAnsi" w:hAnsiTheme="majorHAnsi"/>
        </w:rPr>
        <w:t xml:space="preserve"> communities; however, encourage use of shared CDEs as appropriate.</w:t>
      </w:r>
    </w:p>
    <w:p w14:paraId="3D0D997F" w14:textId="59018360" w:rsidR="0009164D" w:rsidRDefault="00751E69" w:rsidP="009E4186">
      <w:pPr>
        <w:pStyle w:val="ListParagraph"/>
        <w:numPr>
          <w:ilvl w:val="0"/>
          <w:numId w:val="4"/>
        </w:numPr>
        <w:spacing w:after="60"/>
        <w:contextualSpacing w:val="0"/>
        <w:rPr>
          <w:rFonts w:asciiTheme="majorHAnsi" w:hAnsiTheme="majorHAnsi"/>
        </w:rPr>
      </w:pPr>
      <w:r>
        <w:rPr>
          <w:rFonts w:asciiTheme="majorHAnsi" w:hAnsiTheme="majorHAnsi"/>
        </w:rPr>
        <w:t>Develop</w:t>
      </w:r>
      <w:r w:rsidR="0009164D">
        <w:rPr>
          <w:rFonts w:asciiTheme="majorHAnsi" w:hAnsiTheme="majorHAnsi"/>
        </w:rPr>
        <w:t xml:space="preserve"> a common definition/taxonomy of CDEs</w:t>
      </w:r>
      <w:r w:rsidR="00403B86">
        <w:rPr>
          <w:rFonts w:asciiTheme="majorHAnsi" w:hAnsiTheme="majorHAnsi"/>
        </w:rPr>
        <w:t xml:space="preserve"> (with infrastructure leaders)</w:t>
      </w:r>
    </w:p>
    <w:p w14:paraId="5EE23936" w14:textId="2496EBC2" w:rsidR="00795B39" w:rsidRDefault="00795B39" w:rsidP="00364266">
      <w:pPr>
        <w:pStyle w:val="ListParagraph"/>
        <w:numPr>
          <w:ilvl w:val="0"/>
          <w:numId w:val="4"/>
        </w:numPr>
        <w:spacing w:after="240"/>
        <w:contextualSpacing w:val="0"/>
        <w:rPr>
          <w:rFonts w:asciiTheme="majorHAnsi" w:hAnsiTheme="majorHAnsi"/>
        </w:rPr>
      </w:pPr>
      <w:r>
        <w:rPr>
          <w:rFonts w:asciiTheme="majorHAnsi" w:hAnsiTheme="majorHAnsi"/>
        </w:rPr>
        <w:t>Develop (and implement) a proposal for common formats for CDEs</w:t>
      </w:r>
      <w:r w:rsidR="00574B75">
        <w:rPr>
          <w:rFonts w:asciiTheme="majorHAnsi" w:hAnsiTheme="majorHAnsi"/>
        </w:rPr>
        <w:t xml:space="preserve"> (with infrastructure leaders)</w:t>
      </w:r>
    </w:p>
    <w:p w14:paraId="7C3FB2D9" w14:textId="77777777" w:rsidR="00403B86" w:rsidRPr="009E4186" w:rsidRDefault="00795B39" w:rsidP="00364266">
      <w:pPr>
        <w:pStyle w:val="ListParagraph"/>
        <w:numPr>
          <w:ilvl w:val="0"/>
          <w:numId w:val="5"/>
        </w:numPr>
        <w:spacing w:before="120" w:after="60"/>
        <w:ind w:left="360"/>
        <w:contextualSpacing w:val="0"/>
        <w:rPr>
          <w:rFonts w:asciiTheme="majorHAnsi" w:hAnsiTheme="majorHAnsi"/>
          <w:b/>
        </w:rPr>
      </w:pPr>
      <w:r w:rsidRPr="009E4186">
        <w:rPr>
          <w:rFonts w:asciiTheme="majorHAnsi" w:hAnsiTheme="majorHAnsi"/>
          <w:b/>
        </w:rPr>
        <w:t xml:space="preserve">Coordinate and integrate NIH </w:t>
      </w:r>
      <w:r w:rsidR="00574B75" w:rsidRPr="009E4186">
        <w:rPr>
          <w:rFonts w:asciiTheme="majorHAnsi" w:hAnsiTheme="majorHAnsi"/>
          <w:b/>
        </w:rPr>
        <w:t>technical and software infrastructure(s)</w:t>
      </w:r>
      <w:r w:rsidRPr="009E4186">
        <w:rPr>
          <w:rFonts w:asciiTheme="majorHAnsi" w:hAnsiTheme="majorHAnsi"/>
          <w:b/>
        </w:rPr>
        <w:t xml:space="preserve"> for suppo</w:t>
      </w:r>
      <w:r w:rsidR="00574B75" w:rsidRPr="009E4186">
        <w:rPr>
          <w:rFonts w:asciiTheme="majorHAnsi" w:hAnsiTheme="majorHAnsi"/>
          <w:b/>
        </w:rPr>
        <w:t>r</w:t>
      </w:r>
      <w:r w:rsidRPr="009E4186">
        <w:rPr>
          <w:rFonts w:asciiTheme="majorHAnsi" w:hAnsiTheme="majorHAnsi"/>
          <w:b/>
        </w:rPr>
        <w:t xml:space="preserve">ting CDE development, </w:t>
      </w:r>
      <w:r w:rsidR="00574B75" w:rsidRPr="009E4186">
        <w:rPr>
          <w:rFonts w:asciiTheme="majorHAnsi" w:hAnsiTheme="majorHAnsi"/>
          <w:b/>
        </w:rPr>
        <w:t xml:space="preserve">discoverability, and access.  </w:t>
      </w:r>
    </w:p>
    <w:p w14:paraId="6287CEDF" w14:textId="77777777" w:rsidR="00281DF0" w:rsidRDefault="005E5CD0" w:rsidP="009E4186">
      <w:pPr>
        <w:ind w:left="360"/>
        <w:rPr>
          <w:rFonts w:asciiTheme="majorHAnsi" w:hAnsiTheme="majorHAnsi"/>
        </w:rPr>
      </w:pPr>
      <w:r>
        <w:rPr>
          <w:rFonts w:asciiTheme="majorHAnsi" w:hAnsiTheme="majorHAnsi"/>
        </w:rPr>
        <w:t xml:space="preserve">Several NIH groups have developed infrastructure for </w:t>
      </w:r>
      <w:r w:rsidR="001632FF">
        <w:rPr>
          <w:rFonts w:asciiTheme="majorHAnsi" w:hAnsiTheme="majorHAnsi"/>
        </w:rPr>
        <w:t xml:space="preserve">supporting CDE development, discoverability, and access, including NCI, CIT, NLM, and others.  The leaders of these major infrastructure programs met at the September 30 workshop.  Areas of overlap, differences, and opportunities for coordination and consolidation were evident.  A group of the leaders of CDE infrastructure programs should begin immediately sharing information, tools, and coordinating activities.  </w:t>
      </w:r>
    </w:p>
    <w:p w14:paraId="2B4C490D" w14:textId="77777777" w:rsidR="00281DF0" w:rsidRDefault="00281DF0" w:rsidP="009E4186">
      <w:pPr>
        <w:ind w:left="360"/>
        <w:rPr>
          <w:rFonts w:asciiTheme="majorHAnsi" w:hAnsiTheme="majorHAnsi"/>
        </w:rPr>
      </w:pPr>
    </w:p>
    <w:p w14:paraId="3BA91F82" w14:textId="0F181E3A" w:rsidR="005E5CD0" w:rsidRPr="005C20FE" w:rsidRDefault="001632FF" w:rsidP="009E4186">
      <w:pPr>
        <w:ind w:left="360"/>
        <w:rPr>
          <w:rFonts w:asciiTheme="majorHAnsi" w:hAnsiTheme="majorHAnsi"/>
        </w:rPr>
      </w:pPr>
      <w:r>
        <w:rPr>
          <w:rFonts w:asciiTheme="majorHAnsi" w:hAnsiTheme="majorHAnsi"/>
        </w:rPr>
        <w:t>This infrastructure working group should:</w:t>
      </w:r>
    </w:p>
    <w:p w14:paraId="4D334A84" w14:textId="6608307A" w:rsidR="00574B75" w:rsidRDefault="00574B75" w:rsidP="009E4186">
      <w:pPr>
        <w:pStyle w:val="ListParagraph"/>
        <w:numPr>
          <w:ilvl w:val="0"/>
          <w:numId w:val="10"/>
        </w:numPr>
        <w:spacing w:after="60"/>
        <w:contextualSpacing w:val="0"/>
        <w:rPr>
          <w:rFonts w:asciiTheme="majorHAnsi" w:hAnsiTheme="majorHAnsi"/>
        </w:rPr>
      </w:pPr>
      <w:r>
        <w:rPr>
          <w:rFonts w:asciiTheme="majorHAnsi" w:hAnsiTheme="majorHAnsi"/>
        </w:rPr>
        <w:t xml:space="preserve">Ensure </w:t>
      </w:r>
      <w:r w:rsidRPr="009E4186">
        <w:rPr>
          <w:rFonts w:asciiTheme="majorHAnsi" w:hAnsiTheme="majorHAnsi"/>
          <w:b/>
        </w:rPr>
        <w:t xml:space="preserve">all </w:t>
      </w:r>
      <w:r>
        <w:rPr>
          <w:rFonts w:asciiTheme="majorHAnsi" w:hAnsiTheme="majorHAnsi"/>
        </w:rPr>
        <w:t xml:space="preserve">NIH </w:t>
      </w:r>
      <w:r w:rsidR="005E5CD0">
        <w:rPr>
          <w:rFonts w:asciiTheme="majorHAnsi" w:hAnsiTheme="majorHAnsi"/>
        </w:rPr>
        <w:t xml:space="preserve">required </w:t>
      </w:r>
      <w:r>
        <w:rPr>
          <w:rFonts w:asciiTheme="majorHAnsi" w:hAnsiTheme="majorHAnsi"/>
        </w:rPr>
        <w:t xml:space="preserve">CDEs are easily discoverable and openly available.  Inclusion of CDE availability in widely available registries/catalogues with links to de-centralized repositories where the individual </w:t>
      </w:r>
      <w:r w:rsidR="005E5CD0">
        <w:rPr>
          <w:rFonts w:asciiTheme="majorHAnsi" w:hAnsiTheme="majorHAnsi"/>
        </w:rPr>
        <w:t>CDEs are accessible</w:t>
      </w:r>
      <w:r>
        <w:rPr>
          <w:rFonts w:asciiTheme="majorHAnsi" w:hAnsiTheme="majorHAnsi"/>
        </w:rPr>
        <w:t xml:space="preserve"> could be one approach. </w:t>
      </w:r>
    </w:p>
    <w:p w14:paraId="00639421" w14:textId="554CA505" w:rsidR="00403B86" w:rsidRDefault="005E5CD0" w:rsidP="009E4186">
      <w:pPr>
        <w:pStyle w:val="ListParagraph"/>
        <w:numPr>
          <w:ilvl w:val="0"/>
          <w:numId w:val="10"/>
        </w:numPr>
        <w:spacing w:after="60"/>
        <w:contextualSpacing w:val="0"/>
        <w:rPr>
          <w:rFonts w:asciiTheme="majorHAnsi" w:hAnsiTheme="majorHAnsi"/>
        </w:rPr>
      </w:pPr>
      <w:r>
        <w:rPr>
          <w:rFonts w:asciiTheme="majorHAnsi" w:hAnsiTheme="majorHAnsi"/>
        </w:rPr>
        <w:lastRenderedPageBreak/>
        <w:t xml:space="preserve">Ensure NIH CDE infrastructures are not </w:t>
      </w:r>
      <w:r w:rsidR="00403B86">
        <w:rPr>
          <w:rFonts w:asciiTheme="majorHAnsi" w:hAnsiTheme="majorHAnsi"/>
        </w:rPr>
        <w:t xml:space="preserve">duplicative </w:t>
      </w:r>
      <w:r>
        <w:rPr>
          <w:rFonts w:asciiTheme="majorHAnsi" w:hAnsiTheme="majorHAnsi"/>
        </w:rPr>
        <w:t>or siloed (unless well justified).</w:t>
      </w:r>
    </w:p>
    <w:p w14:paraId="76972EC7" w14:textId="475FD12A" w:rsidR="005C20FE" w:rsidRPr="009E4186" w:rsidRDefault="005C20FE" w:rsidP="009E4186">
      <w:pPr>
        <w:pStyle w:val="ListParagraph"/>
        <w:numPr>
          <w:ilvl w:val="0"/>
          <w:numId w:val="10"/>
        </w:numPr>
        <w:spacing w:after="60"/>
        <w:contextualSpacing w:val="0"/>
        <w:rPr>
          <w:rFonts w:asciiTheme="majorHAnsi" w:hAnsiTheme="majorHAnsi"/>
        </w:rPr>
      </w:pPr>
      <w:r>
        <w:rPr>
          <w:rFonts w:asciiTheme="majorHAnsi" w:hAnsiTheme="majorHAnsi"/>
        </w:rPr>
        <w:t>Ensure NIH CDE infrastructures are user friendly for those looking to obtain information about NIH CDEs and to utilize NIH CDEs in their research; as well as meeting the needs of NIH programs and staff.</w:t>
      </w:r>
    </w:p>
    <w:p w14:paraId="3AFE8F1C" w14:textId="5F9800B0" w:rsidR="00403B86" w:rsidRDefault="00403B86" w:rsidP="00403B86">
      <w:pPr>
        <w:pStyle w:val="ListParagraph"/>
        <w:numPr>
          <w:ilvl w:val="0"/>
          <w:numId w:val="10"/>
        </w:numPr>
        <w:spacing w:after="60"/>
        <w:contextualSpacing w:val="0"/>
        <w:rPr>
          <w:rFonts w:asciiTheme="majorHAnsi" w:hAnsiTheme="majorHAnsi"/>
        </w:rPr>
      </w:pPr>
      <w:r>
        <w:rPr>
          <w:rFonts w:asciiTheme="majorHAnsi" w:hAnsiTheme="majorHAnsi"/>
        </w:rPr>
        <w:t>Develop a common definition/taxonomy of CDEs (with technical/program leaders)</w:t>
      </w:r>
    </w:p>
    <w:p w14:paraId="51505E75" w14:textId="77777777" w:rsidR="00403B86" w:rsidRPr="005C0CD1" w:rsidRDefault="00403B86" w:rsidP="00403B86">
      <w:pPr>
        <w:pStyle w:val="ListParagraph"/>
        <w:numPr>
          <w:ilvl w:val="0"/>
          <w:numId w:val="10"/>
        </w:numPr>
        <w:spacing w:after="60"/>
        <w:contextualSpacing w:val="0"/>
        <w:rPr>
          <w:rFonts w:asciiTheme="majorHAnsi" w:hAnsiTheme="majorHAnsi"/>
        </w:rPr>
      </w:pPr>
      <w:r w:rsidRPr="005C0CD1">
        <w:rPr>
          <w:rFonts w:asciiTheme="majorHAnsi" w:hAnsiTheme="majorHAnsi"/>
        </w:rPr>
        <w:t>Develop (and implement) a proposal for common formats for CDEs (with program/technical leaders)</w:t>
      </w:r>
    </w:p>
    <w:p w14:paraId="43BE7CAD" w14:textId="39DCCDA0" w:rsidR="00574B75" w:rsidRDefault="00574B75" w:rsidP="009E4186">
      <w:pPr>
        <w:pStyle w:val="ListParagraph"/>
        <w:numPr>
          <w:ilvl w:val="0"/>
          <w:numId w:val="10"/>
        </w:numPr>
        <w:contextualSpacing w:val="0"/>
        <w:rPr>
          <w:rFonts w:asciiTheme="majorHAnsi" w:hAnsiTheme="majorHAnsi"/>
        </w:rPr>
      </w:pPr>
      <w:r>
        <w:rPr>
          <w:rFonts w:asciiTheme="majorHAnsi" w:hAnsiTheme="majorHAnsi"/>
        </w:rPr>
        <w:t>Develop (and implemen</w:t>
      </w:r>
      <w:r w:rsidR="00403B86">
        <w:rPr>
          <w:rFonts w:asciiTheme="majorHAnsi" w:hAnsiTheme="majorHAnsi"/>
        </w:rPr>
        <w:t>t</w:t>
      </w:r>
      <w:r>
        <w:rPr>
          <w:rFonts w:asciiTheme="majorHAnsi" w:hAnsiTheme="majorHAnsi"/>
        </w:rPr>
        <w:t>) a proposal for common API for all NIH CDE-related resources.</w:t>
      </w:r>
    </w:p>
    <w:p w14:paraId="2977586B" w14:textId="77777777" w:rsidR="00281DF0" w:rsidRDefault="00281DF0" w:rsidP="009E4186">
      <w:pPr>
        <w:pStyle w:val="ListParagraph"/>
        <w:contextualSpacing w:val="0"/>
        <w:rPr>
          <w:rFonts w:asciiTheme="majorHAnsi" w:hAnsiTheme="majorHAnsi"/>
        </w:rPr>
      </w:pPr>
    </w:p>
    <w:p w14:paraId="0DD9D7FA" w14:textId="77777777" w:rsidR="00D91878" w:rsidRPr="006223E0" w:rsidRDefault="00D91878" w:rsidP="009E4186">
      <w:pPr>
        <w:pStyle w:val="ListParagraph"/>
        <w:numPr>
          <w:ilvl w:val="0"/>
          <w:numId w:val="5"/>
        </w:numPr>
        <w:ind w:left="360"/>
        <w:contextualSpacing w:val="0"/>
        <w:rPr>
          <w:rFonts w:asciiTheme="majorHAnsi" w:hAnsiTheme="majorHAnsi"/>
          <w:b/>
        </w:rPr>
      </w:pPr>
      <w:r>
        <w:rPr>
          <w:rFonts w:asciiTheme="majorHAnsi" w:hAnsiTheme="majorHAnsi"/>
          <w:b/>
        </w:rPr>
        <w:t>O</w:t>
      </w:r>
      <w:r w:rsidRPr="006223E0">
        <w:rPr>
          <w:rFonts w:asciiTheme="majorHAnsi" w:hAnsiTheme="majorHAnsi"/>
          <w:b/>
        </w:rPr>
        <w:t>btain evidence of the impact and value of CDEs.</w:t>
      </w:r>
    </w:p>
    <w:p w14:paraId="793F55B4" w14:textId="77777777" w:rsidR="00D91878" w:rsidRDefault="00D91878" w:rsidP="009E4186">
      <w:pPr>
        <w:ind w:left="360"/>
        <w:rPr>
          <w:rFonts w:asciiTheme="majorHAnsi" w:hAnsiTheme="majorHAnsi"/>
        </w:rPr>
      </w:pPr>
      <w:r>
        <w:rPr>
          <w:rFonts w:asciiTheme="majorHAnsi" w:hAnsiTheme="majorHAnsi"/>
        </w:rPr>
        <w:t xml:space="preserve">Evidence for the value and impact of CDEs on scientific advancement (positive or negative) is difficult to find.  To obtain such evidence, NIH should support research to gather relevant data on impact of NIH CDE use on scientific research projects. </w:t>
      </w:r>
    </w:p>
    <w:p w14:paraId="2424B75A" w14:textId="77777777" w:rsidR="00281DF0" w:rsidRDefault="00281DF0" w:rsidP="009E4186">
      <w:pPr>
        <w:ind w:left="360"/>
        <w:rPr>
          <w:rFonts w:asciiTheme="majorHAnsi" w:hAnsiTheme="majorHAnsi"/>
        </w:rPr>
      </w:pPr>
    </w:p>
    <w:p w14:paraId="76724E48" w14:textId="77777777" w:rsidR="00281DF0" w:rsidRDefault="00281DF0" w:rsidP="00281DF0">
      <w:pPr>
        <w:pStyle w:val="ListParagraph"/>
        <w:numPr>
          <w:ilvl w:val="0"/>
          <w:numId w:val="5"/>
        </w:numPr>
        <w:ind w:left="360"/>
        <w:contextualSpacing w:val="0"/>
        <w:rPr>
          <w:rFonts w:asciiTheme="majorHAnsi" w:hAnsiTheme="majorHAnsi"/>
        </w:rPr>
      </w:pPr>
      <w:r w:rsidRPr="00C30706">
        <w:rPr>
          <w:rFonts w:asciiTheme="majorHAnsi" w:hAnsiTheme="majorHAnsi"/>
          <w:b/>
        </w:rPr>
        <w:t>Assess the interoperability of NIH CDEs.</w:t>
      </w:r>
      <w:r>
        <w:rPr>
          <w:rFonts w:asciiTheme="majorHAnsi" w:hAnsiTheme="majorHAnsi"/>
        </w:rPr>
        <w:t xml:space="preserve"> </w:t>
      </w:r>
    </w:p>
    <w:p w14:paraId="75810E74" w14:textId="77D53F4A" w:rsidR="003D6827" w:rsidRDefault="00281DF0" w:rsidP="009E4186">
      <w:pPr>
        <w:ind w:left="360"/>
        <w:rPr>
          <w:rFonts w:asciiTheme="majorHAnsi" w:hAnsiTheme="majorHAnsi"/>
        </w:rPr>
      </w:pPr>
      <w:r>
        <w:rPr>
          <w:rFonts w:asciiTheme="majorHAnsi" w:hAnsiTheme="majorHAnsi"/>
        </w:rPr>
        <w:t xml:space="preserve">The ease of exchange of information </w:t>
      </w:r>
      <w:r w:rsidR="00D66E37">
        <w:rPr>
          <w:rFonts w:asciiTheme="majorHAnsi" w:hAnsiTheme="majorHAnsi"/>
        </w:rPr>
        <w:t xml:space="preserve">collected </w:t>
      </w:r>
      <w:r>
        <w:rPr>
          <w:rFonts w:asciiTheme="majorHAnsi" w:hAnsiTheme="majorHAnsi"/>
        </w:rPr>
        <w:t>using various CDEs is unclear.  This is a very relevant question when studies use different CDEs to collect data on the same characteristic or activity, e.g., smoking.</w:t>
      </w:r>
      <w:r w:rsidR="00D66E37">
        <w:rPr>
          <w:rFonts w:asciiTheme="majorHAnsi" w:hAnsiTheme="majorHAnsi"/>
        </w:rPr>
        <w:t xml:space="preserve">  </w:t>
      </w:r>
      <w:r>
        <w:rPr>
          <w:rFonts w:asciiTheme="majorHAnsi" w:hAnsiTheme="majorHAnsi"/>
        </w:rPr>
        <w:t>With multiple CDEs in use for collecting data on smoking, it is unclear whe</w:t>
      </w:r>
      <w:r w:rsidR="00D66E37">
        <w:rPr>
          <w:rFonts w:asciiTheme="majorHAnsi" w:hAnsiTheme="majorHAnsi"/>
        </w:rPr>
        <w:t xml:space="preserve">ther </w:t>
      </w:r>
      <w:r>
        <w:rPr>
          <w:rFonts w:asciiTheme="majorHAnsi" w:hAnsiTheme="majorHAnsi"/>
        </w:rPr>
        <w:t>the</w:t>
      </w:r>
      <w:r w:rsidR="00E86344">
        <w:rPr>
          <w:rFonts w:asciiTheme="majorHAnsi" w:hAnsiTheme="majorHAnsi"/>
        </w:rPr>
        <w:t>se data are comparable or not</w:t>
      </w:r>
      <w:r w:rsidR="00D66E37">
        <w:rPr>
          <w:rFonts w:asciiTheme="majorHAnsi" w:hAnsiTheme="majorHAnsi"/>
        </w:rPr>
        <w:t>.  Additionally, various CDEs collecting the same data may collect it in different units or formats.  NIH should</w:t>
      </w:r>
      <w:r w:rsidR="009E4186">
        <w:rPr>
          <w:rFonts w:asciiTheme="majorHAnsi" w:hAnsiTheme="majorHAnsi"/>
        </w:rPr>
        <w:t xml:space="preserve"> support </w:t>
      </w:r>
      <w:r w:rsidR="002E5626">
        <w:rPr>
          <w:rFonts w:asciiTheme="majorHAnsi" w:hAnsiTheme="majorHAnsi"/>
        </w:rPr>
        <w:t xml:space="preserve">collection of data </w:t>
      </w:r>
      <w:r w:rsidR="00D66E37">
        <w:rPr>
          <w:rFonts w:asciiTheme="majorHAnsi" w:hAnsiTheme="majorHAnsi"/>
        </w:rPr>
        <w:t>on the comparability and interoperability of the NIH required CDEs</w:t>
      </w:r>
      <w:r w:rsidR="009E4186">
        <w:rPr>
          <w:rFonts w:asciiTheme="majorHAnsi" w:hAnsiTheme="majorHAnsi"/>
        </w:rPr>
        <w:t>.</w:t>
      </w:r>
    </w:p>
    <w:p w14:paraId="6062F620" w14:textId="77777777" w:rsidR="003D6827" w:rsidRDefault="003D6827" w:rsidP="009E4186">
      <w:pPr>
        <w:rPr>
          <w:rFonts w:asciiTheme="majorHAnsi" w:hAnsiTheme="majorHAnsi"/>
        </w:rPr>
      </w:pPr>
    </w:p>
    <w:p w14:paraId="4F892601" w14:textId="77777777" w:rsidR="003D6827" w:rsidRDefault="003D6827" w:rsidP="009E4186">
      <w:pPr>
        <w:rPr>
          <w:rFonts w:asciiTheme="majorHAnsi" w:hAnsiTheme="majorHAnsi"/>
        </w:rPr>
      </w:pPr>
    </w:p>
    <w:p w14:paraId="5B83E248" w14:textId="7198D908" w:rsidR="003D6827" w:rsidRPr="003D6827" w:rsidRDefault="003D6827" w:rsidP="003D6827">
      <w:pPr>
        <w:rPr>
          <w:rFonts w:asciiTheme="majorHAnsi" w:hAnsiTheme="majorHAnsi"/>
          <w:u w:val="single"/>
        </w:rPr>
      </w:pPr>
      <w:r w:rsidRPr="003D6827">
        <w:rPr>
          <w:rFonts w:asciiTheme="majorHAnsi" w:hAnsiTheme="majorHAnsi"/>
          <w:u w:val="single"/>
        </w:rPr>
        <w:t>Attachments:</w:t>
      </w:r>
    </w:p>
    <w:p w14:paraId="0FCAE9EA" w14:textId="0623AD37" w:rsidR="003D6827" w:rsidRDefault="003D6827" w:rsidP="003D6827">
      <w:pPr>
        <w:rPr>
          <w:rFonts w:asciiTheme="majorHAnsi" w:hAnsiTheme="majorHAnsi"/>
        </w:rPr>
      </w:pPr>
      <w:r>
        <w:rPr>
          <w:rFonts w:asciiTheme="majorHAnsi" w:hAnsiTheme="majorHAnsi"/>
        </w:rPr>
        <w:t>CDE Workshop Agenda and Roster</w:t>
      </w:r>
    </w:p>
    <w:p w14:paraId="2CE081B3" w14:textId="77777777" w:rsidR="00D91878" w:rsidRPr="003D6827" w:rsidRDefault="00D91878" w:rsidP="009E4186">
      <w:pPr>
        <w:rPr>
          <w:rFonts w:asciiTheme="majorHAnsi" w:hAnsiTheme="majorHAnsi"/>
        </w:rPr>
      </w:pPr>
    </w:p>
    <w:sectPr w:rsidR="00D91878" w:rsidRPr="003D6827" w:rsidSect="002D565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E2687"/>
    <w:multiLevelType w:val="hybridMultilevel"/>
    <w:tmpl w:val="88C0C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89229F"/>
    <w:multiLevelType w:val="multilevel"/>
    <w:tmpl w:val="E5D25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352785"/>
    <w:multiLevelType w:val="multilevel"/>
    <w:tmpl w:val="200E2B3E"/>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27F19F2"/>
    <w:multiLevelType w:val="hybridMultilevel"/>
    <w:tmpl w:val="3B3619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8A2F23"/>
    <w:multiLevelType w:val="hybridMultilevel"/>
    <w:tmpl w:val="076E79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49B227C"/>
    <w:multiLevelType w:val="hybridMultilevel"/>
    <w:tmpl w:val="3676D88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6" w15:restartNumberingAfterBreak="0">
    <w:nsid w:val="59BD0180"/>
    <w:multiLevelType w:val="hybridMultilevel"/>
    <w:tmpl w:val="977C09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E43485"/>
    <w:multiLevelType w:val="hybridMultilevel"/>
    <w:tmpl w:val="3C6A19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481D99"/>
    <w:multiLevelType w:val="hybridMultilevel"/>
    <w:tmpl w:val="376A3C66"/>
    <w:lvl w:ilvl="0" w:tplc="A344DC98">
      <w:start w:val="1"/>
      <w:numFmt w:val="decimal"/>
      <w:lvlText w:val="%1."/>
      <w:lvlJc w:val="left"/>
      <w:pPr>
        <w:ind w:left="720" w:hanging="360"/>
      </w:pPr>
      <w:rPr>
        <w:rFonts w:ascii="Arial" w:hAnsi="Arial" w:hint="default"/>
        <w:b/>
        <w:i w: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C9F317D"/>
    <w:multiLevelType w:val="hybridMultilevel"/>
    <w:tmpl w:val="CFDCB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C00D0A"/>
    <w:multiLevelType w:val="hybridMultilevel"/>
    <w:tmpl w:val="D5B40E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0"/>
  </w:num>
  <w:num w:numId="4">
    <w:abstractNumId w:val="7"/>
  </w:num>
  <w:num w:numId="5">
    <w:abstractNumId w:val="8"/>
  </w:num>
  <w:num w:numId="6">
    <w:abstractNumId w:val="6"/>
  </w:num>
  <w:num w:numId="7">
    <w:abstractNumId w:val="2"/>
  </w:num>
  <w:num w:numId="8">
    <w:abstractNumId w:val="3"/>
  </w:num>
  <w:num w:numId="9">
    <w:abstractNumId w:val="4"/>
  </w:num>
  <w:num w:numId="10">
    <w:abstractNumId w:val="1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0ECC"/>
    <w:rsid w:val="000037F8"/>
    <w:rsid w:val="00011C14"/>
    <w:rsid w:val="0009164D"/>
    <w:rsid w:val="0015509B"/>
    <w:rsid w:val="001632FF"/>
    <w:rsid w:val="00205B0E"/>
    <w:rsid w:val="00250D53"/>
    <w:rsid w:val="00281DF0"/>
    <w:rsid w:val="00287D0E"/>
    <w:rsid w:val="002A1595"/>
    <w:rsid w:val="002B0021"/>
    <w:rsid w:val="002B0ECC"/>
    <w:rsid w:val="002D565D"/>
    <w:rsid w:val="002E5626"/>
    <w:rsid w:val="003112D1"/>
    <w:rsid w:val="00337E78"/>
    <w:rsid w:val="00364266"/>
    <w:rsid w:val="003D6827"/>
    <w:rsid w:val="00403B86"/>
    <w:rsid w:val="00452606"/>
    <w:rsid w:val="004C4CAF"/>
    <w:rsid w:val="00501DDB"/>
    <w:rsid w:val="00574B75"/>
    <w:rsid w:val="005C20FE"/>
    <w:rsid w:val="005E5CD0"/>
    <w:rsid w:val="0067026D"/>
    <w:rsid w:val="006D1F35"/>
    <w:rsid w:val="0071304B"/>
    <w:rsid w:val="00751E69"/>
    <w:rsid w:val="00795B39"/>
    <w:rsid w:val="0087173D"/>
    <w:rsid w:val="00953D79"/>
    <w:rsid w:val="009E4186"/>
    <w:rsid w:val="00A937B2"/>
    <w:rsid w:val="00A95D26"/>
    <w:rsid w:val="00C07725"/>
    <w:rsid w:val="00C927E4"/>
    <w:rsid w:val="00D66E37"/>
    <w:rsid w:val="00D91878"/>
    <w:rsid w:val="00DB728D"/>
    <w:rsid w:val="00E86344"/>
    <w:rsid w:val="00E938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5EA718"/>
  <w14:defaultImageDpi w14:val="300"/>
  <w15:docId w15:val="{433150EC-73D7-4B6B-8B34-E697F31A1F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0ECC"/>
    <w:pPr>
      <w:ind w:left="720"/>
      <w:contextualSpacing/>
    </w:pPr>
  </w:style>
  <w:style w:type="paragraph" w:styleId="BalloonText">
    <w:name w:val="Balloon Text"/>
    <w:basedOn w:val="Normal"/>
    <w:link w:val="BalloonTextChar"/>
    <w:uiPriority w:val="99"/>
    <w:semiHidden/>
    <w:unhideWhenUsed/>
    <w:rsid w:val="005C20FE"/>
    <w:rPr>
      <w:rFonts w:ascii="Tahoma" w:hAnsi="Tahoma" w:cs="Tahoma"/>
      <w:sz w:val="16"/>
      <w:szCs w:val="16"/>
    </w:rPr>
  </w:style>
  <w:style w:type="character" w:customStyle="1" w:styleId="BalloonTextChar">
    <w:name w:val="Balloon Text Char"/>
    <w:basedOn w:val="DefaultParagraphFont"/>
    <w:link w:val="BalloonText"/>
    <w:uiPriority w:val="99"/>
    <w:semiHidden/>
    <w:rsid w:val="005C20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495206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992</Words>
  <Characters>5659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NIH</Company>
  <LinksUpToDate>false</LinksUpToDate>
  <CharactersWithSpaces>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Jennie Larkin</dc:creator>
  <cp:lastModifiedBy>Zurlo, Emily (NIH/NLM) [E]</cp:lastModifiedBy>
  <cp:revision>2</cp:revision>
  <cp:lastPrinted>2015-11-30T19:33:00Z</cp:lastPrinted>
  <dcterms:created xsi:type="dcterms:W3CDTF">2020-12-03T18:35:00Z</dcterms:created>
  <dcterms:modified xsi:type="dcterms:W3CDTF">2020-12-03T18:35:00Z</dcterms:modified>
</cp:coreProperties>
</file>